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4B97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34540231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94B9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94B9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34540231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94B9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94B9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34540231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94B9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94B97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94B97">
      <w:pPr>
        <w:divId w:val="19507758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3356158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Сопоставьте выборы и субъекты, которые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divId w:val="3356158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их назначают (по общему правилу)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11944890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Выборы депутатов представительного органа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Советом Федераци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1944890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Выборы депутатов Государственной Думы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представительным органом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1944890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Выборы Президента РФ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избирательной комиссией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19448903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Президентом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119448903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Государственной Думой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394B97">
      <w:pPr>
        <w:divId w:val="5739752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12311155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Мажоритарная система абсолютного большинства используется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divId w:val="12311155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выборах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556528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5556528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Депутатов Госдумы (в одномандатных округах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5556528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Депутатов региональных парламентов (в многомандатных округах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55565286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394B97">
      <w:pPr>
        <w:divId w:val="2647293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1135208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Для выборов законодательных органов субъектов РФ установлено обязательное требование использования пропорциональной системы (хотя бы частичное)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131456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3131456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394B97">
      <w:pPr>
        <w:divId w:val="13497974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20623183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</w:t>
      </w:r>
      <w:r>
        <w:rPr>
          <w:rFonts w:ascii="Segoe UI" w:hAnsi="Segoe UI" w:cs="Segoe UI"/>
          <w:b/>
          <w:bCs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Соотнесите: от чего зависит число депутатов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divId w:val="20623183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том или ином представительном органе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440492675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Представительный орган городского округа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указано в Конституции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440492675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Государственная Дума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 числа жителе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440492675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Региональный парламен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 численности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394B97">
      <w:pPr>
        <w:divId w:val="9250672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394B97">
      <w:pPr>
        <w:pStyle w:val="a5"/>
        <w:keepNext/>
        <w:divId w:val="11973538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Иностранные граждане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517150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обладать избирательными правами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6517150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могут обладать избирательными правам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6517150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обладать избирательными правами на федеральных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6517150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обладать избирательными правами на региональных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394B97">
      <w:pPr>
        <w:divId w:val="5844159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2731785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Поддержка выдвижения кандидатов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divId w:val="2731785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депутаты регионального парламента в РФ возможна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725296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результатам предыдущих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725296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Путем сбора подписей выборных глав муниципальных образований и депутатов муниципальных представительных органо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725296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Внесением избирательного залог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725296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Путем сбора подписей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394B97">
      <w:pPr>
        <w:divId w:val="1554620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17157385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Одно и то же лицо не может занимать должность главы субъекта РФ более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617700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 сроков подря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2617700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Одного срок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617700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 сроко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26177008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Ограничение не установлен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394B97">
      <w:pPr>
        <w:divId w:val="122467552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20250919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Соотнесите участника избирательного процесса и кол-во подписей избирателей, которое ему надо собрать для поддержки выдвижения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7151135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Партия при выдвижении списка кандидатов на думских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7151135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Партия при выдвижении списка канд</w:t>
            </w:r>
            <w:r>
              <w:rPr>
                <w:rFonts w:ascii="Segoe UI" w:hAnsi="Segoe UI" w:cs="Segoe UI"/>
                <w:sz w:val="20"/>
                <w:szCs w:val="20"/>
              </w:rPr>
              <w:t>идатов на выборах регионального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0,5% от численности избирателей округ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151135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 в Президенты РФ (выдвинутый партией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7151135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Кандидат-одномандатник на думских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3% от численности избирателей округ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151135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[5]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 в Президенты РФ (самовыдвиженец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200 00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</w:tbl>
    <w:p w:rsidR="00000000" w:rsidRDefault="00394B97">
      <w:pPr>
        <w:divId w:val="6583841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2026250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В муниципальных выборах может участвовать общественная организация,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divId w:val="2026250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являющаяся политической партией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200644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6200644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394B97">
      <w:pPr>
        <w:divId w:val="7216406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divId w:val="10044330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10. </w:t>
      </w:r>
      <w:r>
        <w:rPr>
          <w:rFonts w:ascii="Segoe UI" w:hAnsi="Segoe UI" w:cs="Segoe UI"/>
          <w:sz w:val="20"/>
          <w:szCs w:val="20"/>
        </w:rPr>
        <w:t>Срок полномочий представительного органа муниципального образования может составлять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44745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 4 до 6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344745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 2 до 6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344745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 2 до 4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344745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 2 до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394B97">
      <w:pPr>
        <w:divId w:val="204559490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16943826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Одно и то же лицо не может занимать должность Президента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597363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двух сроков подря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597363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трех сроков подря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597363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двух сроко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5973637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Более трех сроко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394B97">
      <w:pPr>
        <w:divId w:val="165363479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/>
        <w:divId w:val="174221855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Одно и то же лицо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spacing w:after="120"/>
        <w:divId w:val="174221855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может избираться Депутатом Государственной Думы РФ более двух сроков подря</w:t>
      </w:r>
      <w:r>
        <w:rPr>
          <w:rFonts w:ascii="Segoe UI" w:hAnsi="Segoe UI" w:cs="Segoe UI"/>
          <w:sz w:val="20"/>
          <w:szCs w:val="20"/>
        </w:rPr>
        <w:t>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8135944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81359446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394B97">
      <w:pPr>
        <w:divId w:val="135649277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/>
        <w:divId w:val="998850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Порог явки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spacing w:after="120"/>
        <w:divId w:val="998850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выборах депутатов Государственной Думы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166707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существуе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9166707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5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9166707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20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000000">
        <w:trPr>
          <w:divId w:val="91667072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Составляет 4</w:t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</w:tbl>
    <w:p w:rsidR="00000000" w:rsidRDefault="00394B97">
      <w:pPr>
        <w:divId w:val="6596514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/>
        <w:divId w:val="8526895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Глава муниципального образования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spacing w:after="120"/>
        <w:divId w:val="8526895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может быть избран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72556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сходе граждан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2072556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Представительным органом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072556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Избирателями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2072556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94B97">
      <w:pPr>
        <w:divId w:val="104040305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/>
        <w:divId w:val="11709528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Федеральный список кандидатов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94B97">
      <w:pPr>
        <w:pStyle w:val="a5"/>
        <w:keepNext/>
        <w:spacing w:after="120"/>
        <w:divId w:val="11709528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думских выборах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3232673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включать членов других парти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232673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Должен содержать не менее 35 региональных груп</w:t>
            </w:r>
            <w:r>
              <w:rPr>
                <w:rFonts w:ascii="Segoe UI" w:hAnsi="Segoe UI" w:cs="Segoe UI"/>
                <w:sz w:val="20"/>
                <w:szCs w:val="20"/>
              </w:rPr>
              <w:t>п</w:t>
            </w:r>
          </w:p>
        </w:tc>
      </w:tr>
      <w:tr w:rsidR="00000000">
        <w:trPr>
          <w:divId w:val="13232673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состоять из региональной и общефедеральной часте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3232673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включать беспартийных (не более 60% списка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00000" w:rsidRDefault="00394B97">
      <w:pPr>
        <w:divId w:val="160407579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6280976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Соотнесите выборное лицо и возрастной ценз, которому он должен соответствовать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098"/>
        <w:gridCol w:w="600"/>
        <w:gridCol w:w="600"/>
        <w:gridCol w:w="3698"/>
      </w:tblGrid>
      <w:tr w:rsidR="00000000">
        <w:trPr>
          <w:divId w:val="163008761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Депутат представительного органа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63008761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Депутат регионального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 ​ го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63008761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63008761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Глава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630087618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30087618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630087618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30087618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394B97">
      <w:pPr>
        <w:divId w:val="21092354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/>
        <w:divId w:val="3782106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Сколько процентов составляет максимальная величина «заградительного барьера» на выборах законодательных органов субъектов РФ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394B97">
      <w:pPr>
        <w:pStyle w:val="a5"/>
        <w:keepNext/>
        <w:spacing w:after="120"/>
        <w:divId w:val="3782106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цифрой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6436924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94B97">
      <w:pPr>
        <w:divId w:val="18852928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6466653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18. </w:t>
      </w:r>
      <w:r>
        <w:rPr>
          <w:rFonts w:ascii="Segoe UI" w:hAnsi="Segoe UI" w:cs="Segoe UI"/>
          <w:sz w:val="20"/>
          <w:szCs w:val="20"/>
        </w:rPr>
        <w:t>Ценз оседлости для кандидата в Президенты РФ (лет)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77074017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94B97">
      <w:pPr>
        <w:divId w:val="2389017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13454031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19. "Муниципальным фильтром" называют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9314026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"Заградительный барьер" на выборах депутатов представительного округа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314026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Систему поддержки выдвижения кандидата на должность главы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314026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Систему поддержки выдвижения кандидата в депутаты представительного округа муниципального образовани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314026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Систему поддержки выдвижения кандидата на должность главы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394B97">
      <w:pPr>
        <w:divId w:val="58984827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19165257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20. </w:t>
      </w:r>
      <w:r>
        <w:rPr>
          <w:rFonts w:ascii="Segoe UI" w:hAnsi="Segoe UI" w:cs="Segoe UI"/>
          <w:sz w:val="20"/>
          <w:szCs w:val="20"/>
        </w:rPr>
        <w:t>Региональный парламент в РФ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052896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однопалатны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052896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Одно- </w:t>
            </w:r>
            <w:r>
              <w:rPr>
                <w:rFonts w:ascii="Segoe UI" w:hAnsi="Segoe UI" w:cs="Segoe UI"/>
                <w:sz w:val="20"/>
                <w:szCs w:val="20"/>
              </w:rPr>
              <w:t>или двухпалатны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2052896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Понятие "палата" не применяется к законодательным органам субъектов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2052896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двухпалатны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394B97">
      <w:pPr>
        <w:divId w:val="12288766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85878544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21. Избиратель на одних и тех же выборах может поддержать выдвижение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0106461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Любого числа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0106461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одного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106461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Числа кандидатов, определенного конкретным законом о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0106461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двух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394B97">
      <w:pPr>
        <w:divId w:val="1921163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1334917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22. </w:t>
      </w:r>
      <w:r>
        <w:rPr>
          <w:rFonts w:ascii="Segoe UI" w:hAnsi="Segoe UI" w:cs="Segoe UI"/>
          <w:sz w:val="20"/>
          <w:szCs w:val="20"/>
        </w:rPr>
        <w:t>Главы субъектов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566545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избираться на всенародном голосовании, а могут - депутатами регионального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66545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Президентом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566545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избираются на голосовании жителей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566545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94B97">
      <w:pPr>
        <w:divId w:val="15916195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1073582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23. </w:t>
      </w:r>
      <w:r>
        <w:rPr>
          <w:rFonts w:ascii="Segoe UI" w:hAnsi="Segoe UI" w:cs="Segoe UI"/>
          <w:sz w:val="20"/>
          <w:szCs w:val="20"/>
        </w:rPr>
        <w:t>Ценз оседлости для кандидата на должность главы субъекта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249116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249116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го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249116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установле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1249116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394B97">
      <w:pPr>
        <w:divId w:val="181255257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94B97">
      <w:pPr>
        <w:pStyle w:val="a5"/>
        <w:keepNext/>
        <w:spacing w:before="120" w:after="120"/>
        <w:divId w:val="19072573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24. </w:t>
      </w:r>
      <w:r>
        <w:rPr>
          <w:rFonts w:ascii="Segoe UI" w:hAnsi="Segoe UI" w:cs="Segoe UI"/>
          <w:sz w:val="20"/>
          <w:szCs w:val="20"/>
        </w:rPr>
        <w:t>Срок полномочий законодательных органов субъектов РФ составляет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0516131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Зависит исключительно от конституции (устава субъекта РФ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0516131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6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0516131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5161315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4B97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394B97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394B97">
      <w:pPr>
        <w:divId w:val="12905471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2-D  3-A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2-A  3-C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2-B  3-D  4-H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1-E  2-B  3-C  4-D  5-A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94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</w:tbl>
    <w:p w:rsidR="00000000" w:rsidRDefault="00394B97">
      <w:pPr>
        <w:rPr>
          <w:rFonts w:eastAsia="Times New Roman"/>
        </w:rPr>
      </w:pPr>
    </w:p>
    <w:sectPr w:rsidR="00000000" w:rsidSect="00394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97" w:rsidRDefault="00394B97" w:rsidP="00394B97">
      <w:r>
        <w:separator/>
      </w:r>
    </w:p>
  </w:endnote>
  <w:endnote w:type="continuationSeparator" w:id="0">
    <w:p w:rsidR="00394B97" w:rsidRDefault="00394B97" w:rsidP="0039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97" w:rsidRDefault="00394B97" w:rsidP="001B73C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394B97" w:rsidRDefault="00394B97" w:rsidP="00394B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97" w:rsidRPr="00394B97" w:rsidRDefault="00394B97" w:rsidP="001B73CB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394B97">
      <w:rPr>
        <w:rStyle w:val="aa"/>
        <w:rFonts w:ascii="Segoe UI" w:hAnsi="Segoe UI" w:cs="Segoe UI"/>
        <w:sz w:val="20"/>
      </w:rPr>
      <w:fldChar w:fldCharType="begin"/>
    </w:r>
    <w:r w:rsidRPr="00394B97">
      <w:rPr>
        <w:rStyle w:val="aa"/>
        <w:rFonts w:ascii="Segoe UI" w:hAnsi="Segoe UI" w:cs="Segoe UI"/>
        <w:sz w:val="20"/>
      </w:rPr>
      <w:instrText xml:space="preserve"> PAGE </w:instrText>
    </w:r>
    <w:r w:rsidRPr="00394B97">
      <w:rPr>
        <w:rStyle w:val="aa"/>
        <w:rFonts w:ascii="Segoe UI" w:hAnsi="Segoe UI" w:cs="Segoe UI"/>
        <w:sz w:val="20"/>
      </w:rPr>
      <w:fldChar w:fldCharType="separate"/>
    </w:r>
    <w:r w:rsidRPr="00394B97">
      <w:rPr>
        <w:rStyle w:val="aa"/>
        <w:rFonts w:ascii="Segoe UI" w:hAnsi="Segoe UI" w:cs="Segoe UI"/>
        <w:noProof/>
        <w:sz w:val="20"/>
      </w:rPr>
      <w:t>3</w:t>
    </w:r>
    <w:r w:rsidRPr="00394B97">
      <w:rPr>
        <w:rStyle w:val="aa"/>
        <w:rFonts w:ascii="Segoe UI" w:hAnsi="Segoe UI" w:cs="Segoe UI"/>
        <w:sz w:val="20"/>
      </w:rPr>
      <w:fldChar w:fldCharType="end"/>
    </w:r>
  </w:p>
  <w:p w:rsidR="00394B97" w:rsidRPr="00394B97" w:rsidRDefault="00394B97" w:rsidP="00394B97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97" w:rsidRDefault="00394B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97" w:rsidRDefault="00394B97" w:rsidP="00394B97">
      <w:r>
        <w:separator/>
      </w:r>
    </w:p>
  </w:footnote>
  <w:footnote w:type="continuationSeparator" w:id="0">
    <w:p w:rsidR="00394B97" w:rsidRDefault="00394B97" w:rsidP="0039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97" w:rsidRDefault="00394B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97" w:rsidRDefault="00394B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97" w:rsidRDefault="00394B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4B97"/>
    <w:rsid w:val="003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EFFC-B1E3-4367-B2DF-E8AD8DC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394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B9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4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B97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9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3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3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2022-01-05T18:36:00Z</dcterms:created>
  <dcterms:modified xsi:type="dcterms:W3CDTF">2022-01-05T18:36:00Z</dcterms:modified>
</cp:coreProperties>
</file>